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9BADF">
      <w:pPr>
        <w:spacing w:line="520" w:lineRule="exact"/>
        <w:jc w:val="left"/>
        <w:rPr>
          <w:rFonts w:hint="eastAsia" w:ascii="黑体" w:hAnsi="黑体" w:eastAsia="黑体" w:cs="黑体"/>
          <w:bCs/>
          <w:color w:val="222222"/>
          <w:spacing w:val="5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222222"/>
          <w:spacing w:val="5"/>
          <w:sz w:val="32"/>
          <w:szCs w:val="32"/>
          <w:shd w:val="clear" w:color="auto" w:fill="FFFFFF"/>
        </w:rPr>
        <w:t>附件二：</w:t>
      </w:r>
      <w:bookmarkStart w:id="0" w:name="_GoBack"/>
      <w:bookmarkEnd w:id="0"/>
    </w:p>
    <w:p w14:paraId="2AB36CD3">
      <w:pPr>
        <w:spacing w:line="520" w:lineRule="exact"/>
        <w:jc w:val="center"/>
        <w:rPr>
          <w:rFonts w:ascii="Times New Roman" w:hAnsi="Times New Roman" w:eastAsia="方正小标宋简体" w:cs="Times New Roman"/>
          <w:b/>
          <w:color w:val="222222"/>
          <w:spacing w:val="5"/>
          <w:sz w:val="44"/>
          <w:szCs w:val="44"/>
          <w:shd w:val="clear" w:color="auto" w:fill="FFFFFF"/>
        </w:rPr>
      </w:pPr>
      <w:r>
        <w:rPr>
          <w:rFonts w:ascii="Times New Roman" w:hAnsi="Times New Roman" w:eastAsia="方正小标宋简体" w:cs="Times New Roman"/>
          <w:b/>
          <w:color w:val="222222"/>
          <w:spacing w:val="5"/>
          <w:sz w:val="44"/>
          <w:szCs w:val="44"/>
          <w:shd w:val="clear" w:color="auto" w:fill="FFFFFF"/>
        </w:rPr>
        <w:t>2025集团企业数智化成果征集评审规则</w:t>
      </w:r>
    </w:p>
    <w:p w14:paraId="6FC9E816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302F3428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本评审规则旨在构建一套科学、公正、严谨的评价体系，确保活动能够精准识别出真正推动集团企业数智化转型、提升经营管理效能的卓越创新成果，为行业树立标杆，引领集团企业数智化发展的未来方向。</w:t>
      </w:r>
    </w:p>
    <w:p w14:paraId="33CE87D1">
      <w:pPr>
        <w:spacing w:line="520" w:lineRule="exact"/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一、评审流程</w:t>
      </w:r>
    </w:p>
    <w:p w14:paraId="2562C7F0">
      <w:pPr>
        <w:spacing w:line="52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（一）初审环节</w:t>
      </w:r>
    </w:p>
    <w:p w14:paraId="318ED080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材料审核：由专业评审团队对申报成果的材料完整性、规范性进行审查。申报材料应包括详细的项目介绍、技术方案、落地成效说明、经济效益证明、相关资质文件等。若材料缺失关键信息或不符合格式要求，将通知申报方在规定时间内补充完善，逾期未完成补充的申报成果，将被初步筛除。</w:t>
      </w:r>
    </w:p>
    <w:p w14:paraId="1EE40373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资格审查：确认申报主体的资格，申报主体需为合法注册的集团企业（及下属核心业务单元）、为集团企业提供数智化服务的专业服务商（需提供合作证明）等，且在企业数智化领域有实际项目落地经验。同时审查申报成果是否符合本次征集的主题范围，如在智能制造、数字供应链、智慧营销、财务数智化、人力数字化、企业协同管理等集团企业数智化核心领域的创新成果。对于主体资格不符或成果主题偏离的申报，直接排除在初审通过名单之外。</w:t>
      </w:r>
    </w:p>
    <w:p w14:paraId="60325F99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初步筛选：评审团队依据申报材料，对申报成果的创新性、可行性、预期经济效益与行业影响力等方面进行初步评估。创新性主要关注是否采用了新的技术手段、业务模式或管理理念；可行性从技术实现难度、资源投入需求、与企业现有系统兼容性等角度考量；预期影响力则评估对提升企业运营效率、降低成本、增强市场竞争力等方面可能产生的作用。根据初步评估结果，筛选出一批较具潜力的申报成果进入终审环节。</w:t>
      </w:r>
    </w:p>
    <w:p w14:paraId="340C2CF9">
      <w:pPr>
        <w:spacing w:line="52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（二）终审环节</w:t>
      </w:r>
    </w:p>
    <w:p w14:paraId="3FEEC5A5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由企业数智化领域内的权威专家所组成的评审委员会，将对进入终审的申报材料进行全面、深入的评审。评审期间，评审委员会将严格依照既定的评审标准与规范流程，秉持专业、严谨、公正的原则，对提交至终审环节的相关项目方案、技术成果、实践案例等开展全方位、深层次、精细化的评估审核。从项目的创新性与可行性，到技术的合规性和安全性，再到实际落地产生的经营效益与行业价值，均纳入评审范畴，对各项细节逐一研判、审慎权衡，以客观、精准的评审结论，切实保障评审结果具备高度权威性与公信力。</w:t>
      </w:r>
    </w:p>
    <w:p w14:paraId="79A0317F">
      <w:pPr>
        <w:spacing w:line="520" w:lineRule="exact"/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二、评审标准（总分120分）</w:t>
      </w:r>
    </w:p>
    <w:p w14:paraId="7A68F50D">
      <w:pPr>
        <w:spacing w:line="52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（一）创新性（30分）</w:t>
      </w:r>
    </w:p>
    <w:p w14:paraId="58613D0A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技术创新（15分）：是否引入前沿数字技术，如人工智能、区块链、大数据分析、云计算、物联网、低代码平台等，且技术应用贴合企业业务痛点，对解决集团企业数智化转型中的难题有创新性突破；技术组合运用是否合理，是否形成适配企业场景的新技术解决方案。</w:t>
      </w:r>
    </w:p>
    <w:p w14:paraId="66376474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模式创新（10分）：企业核心业务流程是否进行了重新设计与优化，形成了更高效、敏捷的数智化运营模式；组织架构、跨部门协同机制等方面是否有创新，促进了集团内部数据共享与业务协同效率提升。</w:t>
      </w:r>
    </w:p>
    <w:p w14:paraId="3ECFAA69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理念创新（5分）：是否体现了以客户为中心、数据驱动决策、精益运营、敏捷管理等先进的数智化转型理念，理念的创新性和前瞻性对同行业企业数智化建设是否具有引领作用。</w:t>
      </w:r>
    </w:p>
    <w:p w14:paraId="56476ACB">
      <w:pPr>
        <w:spacing w:line="52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（二）应用成效（40分）</w:t>
      </w:r>
    </w:p>
    <w:p w14:paraId="4DCD8602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提升运营效率（15分）：是否有效提高了集团企业的核心业务效率，如生产周期缩短、订单响应速度提升、审批流程简化、人力成本下降等；是否通过数据支持和智能分析增强了企业决策的科学性和及时性，取得可量化的效率提升成果。</w:t>
      </w:r>
    </w:p>
    <w:p w14:paraId="21ABC74C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优化客户服务（1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sz w:val="32"/>
          <w:szCs w:val="32"/>
        </w:rPr>
        <w:t>分）：客户在使用企业产品/服务过程中，满意度是否明显提高；客户服务的便捷性、响应速度、个性化程度是否有大幅提升，如实现 “一站式” 客户交互、智能客服全天候响应等。</w:t>
      </w:r>
    </w:p>
    <w:p w14:paraId="7854887F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创造商业价值（10分）：是否直接带动集团企业营收增长、利润提升或成本降低（需提供具体数据支撑）；是否在拓展市场份额、提升品牌竞争力、带动产业链上下游数智化协同等方面取得积极成果。</w:t>
      </w:r>
    </w:p>
    <w:p w14:paraId="7D0B86FB">
      <w:pPr>
        <w:spacing w:line="52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（三）可行性与可持续性（20分）</w:t>
      </w:r>
    </w:p>
    <w:p w14:paraId="3C5ED5D8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技术可行性（10分）：技术方案是否成熟稳定，是否与企业现有IT架构兼容，具备在集团内部多业务单元推广应用的技术条件；技术系统的稳定性、安全性是否有保障，有相应的技术运维措施和应急预案。</w:t>
      </w:r>
    </w:p>
    <w:p w14:paraId="2AAB2594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经济可行性（5分）：项目建设和运营成本是否合理，投入产出比是否清晰；资金来源是否稳定，可持续的投入与运维资金保障机制是否健全。</w:t>
      </w:r>
    </w:p>
    <w:p w14:paraId="6DFCBCDE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可持续发展能力（5分）：成果是否具有良好的扩展性和适应性，能够随着技术发展和企业业务需求变化进行升级优化；是否形成了可复制、可推广的模式，对同行业其他集团企业的数智化建设有实际借鉴意义。</w:t>
      </w:r>
    </w:p>
    <w:p w14:paraId="1ACAD994">
      <w:pPr>
        <w:spacing w:line="52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（四）合规性与安全性（10分）</w:t>
      </w:r>
    </w:p>
    <w:p w14:paraId="1311446E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合规性（5分）：项目建设和运营是否符合国家法律法规、行业监管要求，在数据采集、使用、存储，以及业务操作规范等方面无违规行为。</w:t>
      </w:r>
    </w:p>
    <w:p w14:paraId="5CDB37BD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安全性（5分）：是否建立了完善的数据安全和网络安全保障体系，具备数据加密、访问权限控制、安全审计、漏洞检测等安全防护措施，有效防止数据泄露、网络攻击、系统故障等安全事件发生。</w:t>
      </w:r>
    </w:p>
    <w:p w14:paraId="47E43F31">
      <w:pPr>
        <w:spacing w:line="52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（五）知识产权（20分）</w:t>
      </w:r>
    </w:p>
    <w:p w14:paraId="4CFBF959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申报成果相关的技术、软件、解决方案等是否拥有自主知识产权（如专利、软件著作权等）；知识产权对成果的核心竞争力是否有实际支撑作用，是否能为企业数智化转型提供持续的技术壁垒。</w:t>
      </w:r>
    </w:p>
    <w:p w14:paraId="3E7EB773">
      <w:pPr>
        <w:spacing w:line="520" w:lineRule="exact"/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三、打分标准</w:t>
      </w:r>
    </w:p>
    <w:p w14:paraId="19C2A254"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每位专家按照评审标准的五个维度进行打分，每个维度的分值按照上述细分项的权重进行分配。打分采用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一百二十</w:t>
      </w:r>
      <w:r>
        <w:rPr>
          <w:rFonts w:ascii="Times New Roman" w:hAnsi="Times New Roman" w:eastAsia="仿宋_GB2312" w:cs="Times New Roman"/>
          <w:sz w:val="32"/>
          <w:szCs w:val="32"/>
        </w:rPr>
        <w:t>分制，各维度得分相加即为该专家对申报成果的打分，要求入选成果得分不得低72分。组委会将综合多位专家对申报成果的打分情况，计算其平均分，该平均分即为申报成果的最终专家评审得分，并依据此得分最终确定集团企业数智化创新成果名录，汇编《2025集团企业数智化转型样板案例集》。</w:t>
      </w:r>
    </w:p>
    <w:p w14:paraId="736D96FE">
      <w:pPr>
        <w:spacing w:line="5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F40F32-CC9A-49D5-924F-830843AF53E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1F4A296-873E-45C7-86A1-552B5C4E3F9C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C5ADEFBF-7F9D-495D-ADC3-76157527645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94DDD0E7-F8E8-47DE-80BF-E95EB441794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852FE80F-7142-404E-9B82-7ECCE8BE04D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76D0E"/>
    <w:rsid w:val="56E7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2025-11-05T04:47:00Z</dcterms:created>
  <dc:creator>-ddzbb</dc:creator>
  <cp:lastModifiedBy>-ddzbb</cp:lastModifiedBy>
  <dcterms:modified xsi:type="dcterms:W3CDTF">2025-11-05T04:48:24Z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2EB55BA67E754D479158A6B60161F5BF_11</vt:lpwstr>
  </property>
  <property fmtid="{D5CDD505-2E9C-101B-9397-08002B2CF9AE}" pid="4" name="KSOTemplateDocerSaveRecord">
    <vt:lpwstr>eyJoZGlkIjoiMTA0NDNhN2JlMTk1ZmQxOTJiMmU4OWFhODg1OGE5NTciLCJ1c2VySWQiOiI5Mzc0NjUzMTIifQ==</vt:lpwstr>
  </property>
</Properties>
</file>