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Style w:val="7"/>
          <w:rFonts w:hint="default" w:ascii="仿宋" w:hAnsi="仿宋" w:eastAsia="仿宋" w:cs="仿宋"/>
          <w:sz w:val="32"/>
          <w:szCs w:val="32"/>
        </w:rPr>
      </w:pPr>
      <w:r>
        <w:rPr>
          <w:rStyle w:val="7"/>
          <w:rFonts w:ascii="仿宋" w:hAnsi="仿宋" w:eastAsia="仿宋" w:cs="仿宋"/>
          <w:sz w:val="32"/>
          <w:szCs w:val="32"/>
        </w:rPr>
        <w:t>附件</w:t>
      </w:r>
      <w:r>
        <w:rPr>
          <w:rStyle w:val="7"/>
          <w:rFonts w:hint="default" w:ascii="仿宋" w:hAnsi="仿宋" w:eastAsia="仿宋" w:cs="仿宋"/>
          <w:sz w:val="32"/>
          <w:szCs w:val="32"/>
        </w:rPr>
        <w:t>2</w:t>
      </w:r>
    </w:p>
    <w:p>
      <w:pPr>
        <w:spacing w:line="600" w:lineRule="exact"/>
        <w:jc w:val="center"/>
        <w:rPr>
          <w:rFonts w:ascii="宋体" w:hAnsi="宋体" w:eastAsia="宋体" w:cs="宋体"/>
          <w:b/>
          <w:bCs/>
          <w:sz w:val="30"/>
          <w:szCs w:val="30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2"/>
          <w:szCs w:val="32"/>
        </w:rPr>
        <w:t>新质生产力赋能高质量发展系列候选专题</w:t>
      </w:r>
      <w:bookmarkEnd w:id="0"/>
      <w:r>
        <w:rPr>
          <w:rFonts w:hint="eastAsia" w:ascii="仿宋" w:hAnsi="仿宋" w:eastAsia="仿宋" w:cs="仿宋"/>
          <w:b/>
          <w:bCs/>
          <w:sz w:val="32"/>
          <w:szCs w:val="32"/>
        </w:rPr>
        <w:t>（第一批）</w:t>
      </w:r>
    </w:p>
    <w:p>
      <w:pPr>
        <w:pStyle w:val="3"/>
        <w:rPr>
          <w:rFonts w:hint="eastAsia"/>
        </w:rPr>
      </w:pPr>
    </w:p>
    <w:tbl>
      <w:tblPr>
        <w:tblStyle w:val="5"/>
        <w:tblW w:w="89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4"/>
        <w:gridCol w:w="1143"/>
        <w:gridCol w:w="2030"/>
        <w:gridCol w:w="50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</w:tcPr>
          <w:p>
            <w:pPr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编号</w:t>
            </w:r>
          </w:p>
        </w:tc>
        <w:tc>
          <w:tcPr>
            <w:tcW w:w="1143" w:type="dxa"/>
          </w:tcPr>
          <w:p>
            <w:pPr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模块</w:t>
            </w:r>
          </w:p>
        </w:tc>
        <w:tc>
          <w:tcPr>
            <w:tcW w:w="2030" w:type="dxa"/>
          </w:tcPr>
          <w:p>
            <w:pPr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候选专题</w:t>
            </w:r>
          </w:p>
        </w:tc>
        <w:tc>
          <w:tcPr>
            <w:tcW w:w="5058" w:type="dxa"/>
          </w:tcPr>
          <w:p>
            <w:pPr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</w:rPr>
              <w:t>主要学习内容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01</w:t>
            </w:r>
          </w:p>
        </w:tc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新热点</w:t>
            </w:r>
          </w:p>
        </w:tc>
        <w:tc>
          <w:tcPr>
            <w:tcW w:w="2030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双碳规划与应用</w:t>
            </w: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双碳目标与高质量发展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绿色能源发展未来方式与路径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碳中和路径与产业转型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碳足迹生命周期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碳核查、碳排放与碳交易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企业碳管理体系建设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02</w:t>
            </w: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5G+工业互联网赋能企业数字化转型</w:t>
            </w: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面向工业互联网特定需求的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5G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关键技术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5G+工业互联网融合创新方案及案例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工业企业生产流程优化与内网建设改造及推广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5G+工业互联网重点垂直行业融合创新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5G+工业互联网企业安全风险及应对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03</w:t>
            </w: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数实融合构建发展新格局</w:t>
            </w: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数字经济政策解读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数字经济增长的结构特征与趋势分析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数字经济时代的新兴技术与创新驱动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数实融合推进产业基础再造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数智融合加速企业数字化转型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br w:type="page"/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04</w:t>
            </w: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元宇宙赋能及体系构建</w:t>
            </w: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技术视角下的元宇宙：元宇宙核心架构解析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元宇宙基础技术支撑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元宇宙发展趋势及其规范化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元宇宙与区块链开启创作者经济时代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工业领域元宇宙应用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虚拟数字人多元应用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文创领域元宇宙创新应用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br w:type="page"/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05</w:t>
            </w: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网络安全与数据保护</w:t>
            </w: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全国网络安全态势分析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新时期网络安全防护新思路、新目标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信息技术创新应用产业概况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网络安全风险分析与典型案例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数据治理与数据安全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关键信息基础设施网络安全保护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br w:type="page"/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06</w:t>
            </w:r>
          </w:p>
        </w:tc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新产业</w:t>
            </w:r>
          </w:p>
        </w:tc>
        <w:tc>
          <w:tcPr>
            <w:tcW w:w="2030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新能源产业创新经营</w:t>
            </w: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新能源概述与全球趋势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新能源产业政策法规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新能源产业链与商业模式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新能源项目开发与运营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储能技术与应用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新能源汽车发展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新能源技术与应用案例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07</w:t>
            </w: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先进制造业驱动工业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与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企业升级跃迁</w:t>
            </w: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先进制造业的发展趋势与挑战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先进制造业技术创新与合作模式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以先进制造业为骨干的现代化产业体系构建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科创赋能助力先进制造业强势跃迁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先进制造技术面向工业应用领域的领先实践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08</w:t>
            </w: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电子信息产业融合发展</w:t>
            </w: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电子信息产业现状与未来趋势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产业发展中的技术创新与市场机遇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全球半导体供应链分析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传统制造迈向高端制造关键路径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电子信息产业集群打造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br w:type="page"/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09</w:t>
            </w:r>
          </w:p>
        </w:tc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新技术</w:t>
            </w:r>
          </w:p>
        </w:tc>
        <w:tc>
          <w:tcPr>
            <w:tcW w:w="2030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人工智能大模型技术应用</w:t>
            </w: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人工智能技术前沿与产业概述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AIGC大模型技术概述及原理讲解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生成式数据驱动升级信息服务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大模型部署实践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大模型行业应用案例解读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人工智能的知识产权困境与解决路径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10</w:t>
            </w: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云计算与大数据技术应用</w:t>
            </w: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云计算、大数据前沿技术及发展趋势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云计算核心概念与场景应用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企业云整体架构与实施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大数据和云计算实践与典型案例分析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数字工程与东数西算带来的产业发展新机遇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11</w:t>
            </w: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Web3.0赋能数字经济-从区块链出发</w:t>
            </w: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区块链技术及产业发展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区块链推动政府治理现代化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区块链如何推动新基建创新变革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数据要素与数据资产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区块链赋能实体经济的应用场景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12</w:t>
            </w: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融通创新-物联网产业及应用</w:t>
            </w: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物联网主要技术体系与产业应用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物联网在工业互联网领域的生态建设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物联网新型供应链体系解读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物联网技术消费性应用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数智时代物联网领域前沿成果转化实践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7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13</w:t>
            </w:r>
          </w:p>
        </w:tc>
        <w:tc>
          <w:tcPr>
            <w:tcW w:w="1143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新管理</w:t>
            </w:r>
          </w:p>
        </w:tc>
        <w:tc>
          <w:tcPr>
            <w:tcW w:w="2030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“链主”“链长”“领航”企业首席管理</w:t>
            </w: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国家政策与技术前沿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数字化时代的增长战略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大环境治理文化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创新管理与组织赋能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要素和产品市场分析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企业投资与融资策略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知识产权入股与股权设计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如何当好企业/部门带头人及技术带头人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突发事件应急处置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7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14</w:t>
            </w: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restart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专精特新小巨人企业战略管理</w:t>
            </w:r>
          </w:p>
        </w:tc>
        <w:tc>
          <w:tcPr>
            <w:tcW w:w="5058" w:type="dxa"/>
            <w:vAlign w:val="center"/>
          </w:tcPr>
          <w:p>
            <w:pPr>
              <w:snapToGrid w:val="0"/>
              <w:rPr>
                <w:rFonts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前沿科技趋势及成果转化应用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snapToGrid w:val="0"/>
              <w:rPr>
                <w:rFonts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新兴产业与市场解析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snapToGrid w:val="0"/>
              <w:rPr>
                <w:rFonts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创新管理与组织赋能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snapToGrid w:val="0"/>
              <w:rPr>
                <w:rFonts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科技成果转化与知识产权管理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snapToGrid w:val="0"/>
              <w:rPr>
                <w:rFonts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薪酬体系设计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snapToGrid w:val="0"/>
              <w:rPr>
                <w:rFonts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企业治理文化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snapToGrid w:val="0"/>
              <w:rPr>
                <w:rFonts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品牌体系构建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snapToGrid w:val="0"/>
              <w:rPr>
                <w:rFonts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大数据与新媒体市场营销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br w:type="page"/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15</w:t>
            </w: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央国企数字化创新管理</w:t>
            </w: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我国数字经济发展规划、机遇与挑战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数字技术应用、数字经济与数字中国建设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央企科技创新与数字中国建设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企业数字化战略制定与实施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数字技术在数字化转型过程中的应用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电信行业数字化转型</w:t>
            </w:r>
            <w:r>
              <w:rPr>
                <w:rFonts w:hint="eastAsia" w:ascii="仿宋" w:hAnsi="仿宋" w:eastAsia="仿宋" w:cs="仿宋"/>
                <w:bCs/>
                <w:kern w:val="0"/>
                <w:sz w:val="24"/>
                <w:lang w:val="en-US" w:eastAsia="zh-CN"/>
              </w:rPr>
              <w:t>的</w:t>
            </w: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实践案例解读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16</w:t>
            </w:r>
          </w:p>
        </w:tc>
        <w:tc>
          <w:tcPr>
            <w:tcW w:w="11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数字化时代的智慧物流与供应链管理</w:t>
            </w: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从信息化到网络化再到数字化时代的供应链管理体系变革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</w:tcPr>
          <w:p>
            <w:pPr>
              <w:spacing w:line="400" w:lineRule="exac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新供应链管理体系变革的机遇与挑战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74" w:type="dxa"/>
            <w:vMerge w:val="continue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</w:tcPr>
          <w:p>
            <w:pPr>
              <w:spacing w:line="400" w:lineRule="exac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精益生产背景下的供应链运营与生产管理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674" w:type="dxa"/>
            <w:vMerge w:val="continue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</w:tcPr>
          <w:p>
            <w:pPr>
              <w:spacing w:line="400" w:lineRule="exac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面向智能制造的供应链建设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674" w:type="dxa"/>
            <w:vMerge w:val="continue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3" w:type="dxa"/>
            <w:vMerge w:val="continue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2030" w:type="dxa"/>
            <w:vMerge w:val="continue"/>
          </w:tcPr>
          <w:p>
            <w:pPr>
              <w:spacing w:line="400" w:lineRule="exac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5058" w:type="dxa"/>
            <w:vAlign w:val="center"/>
          </w:tcPr>
          <w:p>
            <w:pPr>
              <w:rPr>
                <w:rFonts w:ascii="仿宋" w:hAnsi="仿宋" w:eastAsia="仿宋" w:cs="仿宋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</w:rPr>
              <w:t>智慧供应链实践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yZWE0M2NjZDVjMWJmZDkyMzI4YzE1NDkzZDRlMGEifQ=="/>
  </w:docVars>
  <w:rsids>
    <w:rsidRoot w:val="51A96BB8"/>
    <w:rsid w:val="0C80452A"/>
    <w:rsid w:val="51A96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table" w:styleId="5">
    <w:name w:val="Table Grid"/>
    <w:basedOn w:val="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long_text1"/>
    <w:basedOn w:val="6"/>
    <w:autoRedefine/>
    <w:qFormat/>
    <w:uiPriority w:val="0"/>
    <w:rPr>
      <w:sz w:val="13"/>
      <w:szCs w:val="13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2024-04-09T07:35:00Z</dcterms:created>
  <dc:creator>北</dc:creator>
  <cp:lastModifiedBy>北</cp:lastModifiedBy>
  <dcterms:modified xsi:type="dcterms:W3CDTF">2024-04-09T07:35:49Z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2052-12.1.0.16704</vt:lpwstr>
  </property>
  <property fmtid="{D5CDD505-2E9C-101B-9397-08002B2CF9AE}" pid="3" name="ICV">
    <vt:lpwstr>0C7A2BF677804A78A6AFE6643ECAA732_11</vt:lpwstr>
  </property>
</Properties>
</file>